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A1" w:rsidRPr="00BE79CA" w:rsidRDefault="00645BFE" w:rsidP="002011A1">
      <w:pPr>
        <w:jc w:val="center"/>
        <w:rPr>
          <w:b/>
          <w:sz w:val="28"/>
          <w:lang w:val="en-US"/>
        </w:rPr>
      </w:pPr>
      <w:r w:rsidRPr="00BE79CA">
        <w:rPr>
          <w:b/>
          <w:sz w:val="28"/>
          <w:lang w:val="en-US"/>
        </w:rPr>
        <w:t>10</w:t>
      </w:r>
      <w:r w:rsidR="002011A1" w:rsidRPr="00BE79CA">
        <w:rPr>
          <w:b/>
          <w:sz w:val="28"/>
          <w:lang w:val="en-US"/>
        </w:rPr>
        <w:t xml:space="preserve"> Factor Table –</w:t>
      </w:r>
      <w:r w:rsidRPr="00BE79CA">
        <w:rPr>
          <w:b/>
          <w:sz w:val="28"/>
          <w:lang w:val="en-US"/>
        </w:rPr>
        <w:t xml:space="preserve"> </w:t>
      </w:r>
      <w:r w:rsidR="00F002BD" w:rsidRPr="00BE79CA">
        <w:rPr>
          <w:b/>
          <w:sz w:val="28"/>
          <w:lang w:val="en-US"/>
        </w:rPr>
        <w:t>Estimating a Project's Relative Complexity F</w:t>
      </w:r>
      <w:r w:rsidRPr="00BE79CA">
        <w:rPr>
          <w:b/>
          <w:sz w:val="28"/>
          <w:lang w:val="en-US"/>
        </w:rPr>
        <w:t>actors</w:t>
      </w:r>
    </w:p>
    <w:p w:rsidR="002011A1" w:rsidRPr="00BE79CA" w:rsidRDefault="002011A1" w:rsidP="00BE79CA">
      <w:pPr>
        <w:ind w:right="-514"/>
        <w:jc w:val="center"/>
        <w:rPr>
          <w:lang w:val="en-US"/>
        </w:rPr>
      </w:pPr>
      <w:r w:rsidRPr="00BE79CA">
        <w:rPr>
          <w:lang w:val="en-US"/>
        </w:rPr>
        <w:t xml:space="preserve">The following table </w:t>
      </w:r>
      <w:r w:rsidR="00D77543" w:rsidRPr="00BE79CA">
        <w:rPr>
          <w:lang w:val="en-US"/>
        </w:rPr>
        <w:t>presents</w:t>
      </w:r>
      <w:bookmarkStart w:id="0" w:name="_GoBack"/>
      <w:bookmarkEnd w:id="0"/>
      <w:r w:rsidR="00F002BD" w:rsidRPr="00BE79CA">
        <w:rPr>
          <w:lang w:val="en-US"/>
        </w:rPr>
        <w:t xml:space="preserve"> a framework for estimating relative complexity in a project.</w:t>
      </w:r>
    </w:p>
    <w:tbl>
      <w:tblPr>
        <w:tblStyle w:val="TableGrid"/>
        <w:tblW w:w="0" w:type="auto"/>
        <w:jc w:val="center"/>
        <w:tblLayout w:type="fixed"/>
        <w:tblLook w:val="04A0"/>
      </w:tblPr>
      <w:tblGrid>
        <w:gridCol w:w="4608"/>
        <w:gridCol w:w="1800"/>
        <w:gridCol w:w="1800"/>
      </w:tblGrid>
      <w:tr w:rsidR="00F002BD" w:rsidRPr="00BE79CA" w:rsidTr="00BE79CA">
        <w:trPr>
          <w:jc w:val="center"/>
        </w:trPr>
        <w:tc>
          <w:tcPr>
            <w:tcW w:w="8208" w:type="dxa"/>
            <w:gridSpan w:val="3"/>
          </w:tcPr>
          <w:p w:rsidR="00F002BD" w:rsidRPr="00BE79CA" w:rsidRDefault="00F002BD" w:rsidP="00F002BD">
            <w:pPr>
              <w:spacing w:before="120" w:after="120"/>
              <w:jc w:val="center"/>
              <w:rPr>
                <w:rFonts w:ascii="Arial" w:hAnsi="Arial" w:cs="Arial"/>
                <w:b/>
                <w:szCs w:val="16"/>
                <w:lang w:val="en-US"/>
              </w:rPr>
            </w:pPr>
            <w:r w:rsidRPr="00BE79CA">
              <w:rPr>
                <w:rFonts w:ascii="Arial" w:hAnsi="Arial" w:cs="Arial"/>
                <w:b/>
                <w:szCs w:val="16"/>
                <w:lang w:val="en-US"/>
              </w:rPr>
              <w:t>Estimating the Relative Complexity of a Project</w:t>
            </w: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p>
        </w:tc>
        <w:tc>
          <w:tcPr>
            <w:tcW w:w="1800" w:type="dxa"/>
          </w:tcPr>
          <w:p w:rsidR="00F002BD" w:rsidRPr="00BE79CA" w:rsidRDefault="00F002BD" w:rsidP="00F002BD">
            <w:pPr>
              <w:spacing w:before="120" w:after="120"/>
              <w:jc w:val="center"/>
              <w:rPr>
                <w:rFonts w:ascii="Arial" w:hAnsi="Arial" w:cs="Arial"/>
                <w:b/>
                <w:szCs w:val="16"/>
                <w:lang w:val="en-US"/>
              </w:rPr>
            </w:pPr>
            <w:r w:rsidRPr="00BE79CA">
              <w:rPr>
                <w:rFonts w:ascii="Arial" w:hAnsi="Arial" w:cs="Arial"/>
                <w:b/>
                <w:szCs w:val="16"/>
                <w:lang w:val="en-US"/>
              </w:rPr>
              <w:t>Scott’s 1911 score</w:t>
            </w:r>
          </w:p>
        </w:tc>
        <w:tc>
          <w:tcPr>
            <w:tcW w:w="1800" w:type="dxa"/>
          </w:tcPr>
          <w:p w:rsidR="00F002BD" w:rsidRPr="00BE79CA" w:rsidRDefault="00F002BD" w:rsidP="00F002BD">
            <w:pPr>
              <w:spacing w:before="120" w:after="120"/>
              <w:jc w:val="center"/>
              <w:rPr>
                <w:rFonts w:ascii="Arial" w:hAnsi="Arial" w:cs="Arial"/>
                <w:b/>
                <w:szCs w:val="16"/>
                <w:lang w:val="en-US"/>
              </w:rPr>
            </w:pPr>
            <w:r w:rsidRPr="00BE79CA">
              <w:rPr>
                <w:rFonts w:ascii="Arial" w:hAnsi="Arial" w:cs="Arial"/>
                <w:b/>
                <w:szCs w:val="16"/>
                <w:lang w:val="en-US"/>
              </w:rPr>
              <w:t>Your score today?</w:t>
            </w: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Multiple stakeholders, internal and external</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8</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Ambiguity of project features, resources, phases</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9</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Significant political/authority influences</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7</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Other external influences/factors outside your control</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9</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The use of new technologies, methods and approaches</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8</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The scale of indicative costs</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6</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Schedule pressures</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6</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The newness or innovation of the outcomes sought</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9</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The uncertainty of the project’s risk appetite</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6</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szCs w:val="16"/>
                <w:lang w:val="en-US"/>
              </w:rPr>
            </w:pPr>
            <w:r w:rsidRPr="00BE79CA">
              <w:rPr>
                <w:rFonts w:ascii="Arial" w:hAnsi="Arial" w:cs="Arial"/>
                <w:szCs w:val="16"/>
                <w:lang w:val="en-US"/>
              </w:rPr>
              <w:t>The maturity of the delivery-organisation’s P3M capabilities</w:t>
            </w:r>
          </w:p>
        </w:tc>
        <w:tc>
          <w:tcPr>
            <w:tcW w:w="1800" w:type="dxa"/>
          </w:tcPr>
          <w:p w:rsidR="00F002BD" w:rsidRPr="00BE79CA" w:rsidRDefault="00F002BD" w:rsidP="00F002BD">
            <w:pPr>
              <w:spacing w:before="120" w:after="120"/>
              <w:jc w:val="center"/>
              <w:rPr>
                <w:rFonts w:ascii="Arial" w:hAnsi="Arial" w:cs="Arial"/>
                <w:szCs w:val="16"/>
                <w:lang w:val="en-US"/>
              </w:rPr>
            </w:pPr>
            <w:r w:rsidRPr="00BE79CA">
              <w:rPr>
                <w:rFonts w:ascii="Arial" w:hAnsi="Arial" w:cs="Arial"/>
                <w:szCs w:val="16"/>
                <w:lang w:val="en-US"/>
              </w:rPr>
              <w:t>6</w:t>
            </w:r>
          </w:p>
        </w:tc>
        <w:tc>
          <w:tcPr>
            <w:tcW w:w="1800" w:type="dxa"/>
          </w:tcPr>
          <w:p w:rsidR="00F002BD" w:rsidRPr="00BE79CA" w:rsidRDefault="00F002BD" w:rsidP="00F002BD">
            <w:pPr>
              <w:spacing w:before="120" w:after="120"/>
              <w:jc w:val="center"/>
              <w:rPr>
                <w:rFonts w:ascii="Arial" w:hAnsi="Arial" w:cs="Arial"/>
                <w:szCs w:val="16"/>
                <w:lang w:val="en-US"/>
              </w:rPr>
            </w:pPr>
          </w:p>
        </w:tc>
      </w:tr>
      <w:tr w:rsidR="00F002BD" w:rsidRPr="00BE79CA" w:rsidTr="00BE79CA">
        <w:trPr>
          <w:jc w:val="center"/>
        </w:trPr>
        <w:tc>
          <w:tcPr>
            <w:tcW w:w="4608" w:type="dxa"/>
          </w:tcPr>
          <w:p w:rsidR="00F002BD" w:rsidRPr="00BE79CA" w:rsidRDefault="00F002BD" w:rsidP="00F002BD">
            <w:pPr>
              <w:spacing w:before="120" w:after="120"/>
              <w:rPr>
                <w:rFonts w:ascii="Arial" w:hAnsi="Arial" w:cs="Arial"/>
                <w:b/>
                <w:szCs w:val="16"/>
                <w:lang w:val="en-US"/>
              </w:rPr>
            </w:pPr>
            <w:r w:rsidRPr="00BE79CA">
              <w:rPr>
                <w:rFonts w:ascii="Arial" w:hAnsi="Arial" w:cs="Arial"/>
                <w:b/>
                <w:szCs w:val="16"/>
                <w:lang w:val="en-US"/>
              </w:rPr>
              <w:t>TOTAL SCORE:</w:t>
            </w:r>
          </w:p>
        </w:tc>
        <w:tc>
          <w:tcPr>
            <w:tcW w:w="1800" w:type="dxa"/>
          </w:tcPr>
          <w:p w:rsidR="00F002BD" w:rsidRPr="00BE79CA" w:rsidRDefault="00F002BD" w:rsidP="00F002BD">
            <w:pPr>
              <w:spacing w:before="120" w:after="120"/>
              <w:jc w:val="center"/>
              <w:rPr>
                <w:rFonts w:ascii="Arial" w:hAnsi="Arial" w:cs="Arial"/>
                <w:b/>
                <w:szCs w:val="16"/>
                <w:lang w:val="en-US"/>
              </w:rPr>
            </w:pPr>
            <w:r w:rsidRPr="00BE79CA">
              <w:rPr>
                <w:rFonts w:ascii="Arial" w:hAnsi="Arial" w:cs="Arial"/>
                <w:b/>
                <w:szCs w:val="16"/>
                <w:lang w:val="en-US"/>
              </w:rPr>
              <w:t>74</w:t>
            </w:r>
          </w:p>
        </w:tc>
        <w:tc>
          <w:tcPr>
            <w:tcW w:w="1800" w:type="dxa"/>
          </w:tcPr>
          <w:p w:rsidR="00F002BD" w:rsidRPr="00BE79CA" w:rsidRDefault="00F002BD" w:rsidP="00F002BD">
            <w:pPr>
              <w:spacing w:before="120" w:after="120"/>
              <w:jc w:val="center"/>
              <w:rPr>
                <w:rFonts w:ascii="Arial" w:hAnsi="Arial" w:cs="Arial"/>
                <w:i/>
                <w:szCs w:val="16"/>
                <w:lang w:val="en-US"/>
              </w:rPr>
            </w:pPr>
            <w:r w:rsidRPr="00BE79CA">
              <w:rPr>
                <w:rFonts w:ascii="Arial" w:hAnsi="Arial" w:cs="Arial"/>
                <w:i/>
                <w:szCs w:val="16"/>
                <w:lang w:val="en-US"/>
              </w:rPr>
              <w:t>xx</w:t>
            </w:r>
          </w:p>
        </w:tc>
      </w:tr>
    </w:tbl>
    <w:p w:rsidR="002011A1" w:rsidRDefault="002011A1" w:rsidP="002011A1">
      <w:pPr>
        <w:rPr>
          <w:lang w:val="en-US"/>
        </w:rPr>
      </w:pPr>
    </w:p>
    <w:p w:rsidR="00F002BD" w:rsidRPr="00BE79CA" w:rsidRDefault="00F002BD" w:rsidP="00BE79CA">
      <w:pPr>
        <w:spacing w:line="240" w:lineRule="auto"/>
        <w:ind w:right="-334"/>
        <w:rPr>
          <w:sz w:val="20"/>
          <w:lang w:val="en-US"/>
        </w:rPr>
      </w:pPr>
      <w:r w:rsidRPr="00BE79CA">
        <w:rPr>
          <w:sz w:val="20"/>
          <w:lang w:val="en-US"/>
        </w:rPr>
        <w:t>For your project, assessed relative to your organisation’s previous experiences, successes, and current comfort levels with what is proposed, how would you score your concerns for the attributes listed in the above table?</w:t>
      </w:r>
    </w:p>
    <w:p w:rsidR="00F002BD" w:rsidRPr="00BE79CA" w:rsidRDefault="00F002BD" w:rsidP="00BE79CA">
      <w:pPr>
        <w:spacing w:line="240" w:lineRule="auto"/>
        <w:ind w:right="-334"/>
        <w:rPr>
          <w:sz w:val="20"/>
          <w:lang w:val="en-US"/>
        </w:rPr>
      </w:pPr>
      <w:r w:rsidRPr="00BE79CA">
        <w:rPr>
          <w:sz w:val="20"/>
          <w:lang w:val="en-US"/>
        </w:rPr>
        <w:t xml:space="preserve">The maximum score for an attribute, signaling an overwhelming concern, is 10.  Scores over 8 should </w:t>
      </w:r>
      <w:proofErr w:type="gramStart"/>
      <w:r w:rsidRPr="00BE79CA">
        <w:rPr>
          <w:sz w:val="20"/>
          <w:lang w:val="en-US"/>
        </w:rPr>
        <w:t>be</w:t>
      </w:r>
      <w:proofErr w:type="gramEnd"/>
      <w:r w:rsidRPr="00BE79CA">
        <w:rPr>
          <w:sz w:val="20"/>
          <w:lang w:val="en-US"/>
        </w:rPr>
        <w:t xml:space="preserve"> used when you feel there is an aspect of ‘concern’. A score over 6 signals that you feel there is an aspect of ‘challenge’ involved. For example, low organisational P3M maturity (say ‘0’ or ‘1’ on a 5-point scale) would be a concern and so should receive a high score.</w:t>
      </w:r>
    </w:p>
    <w:p w:rsidR="00F002BD" w:rsidRPr="00BE79CA" w:rsidRDefault="00F002BD" w:rsidP="00BE79CA">
      <w:pPr>
        <w:spacing w:line="240" w:lineRule="auto"/>
        <w:ind w:right="-334"/>
        <w:rPr>
          <w:sz w:val="20"/>
          <w:lang w:val="en-US"/>
        </w:rPr>
      </w:pPr>
      <w:r w:rsidRPr="00BE79CA">
        <w:rPr>
          <w:sz w:val="20"/>
          <w:lang w:val="en-US"/>
        </w:rPr>
        <w:t>Because complexity factors are interactive and contribute exponentially to total complexity as new factors are added (or as single factors increase in score), high scores are to be avoided. Your maximum possible relative complexity score is 100. If you’ve scored anywhere near 100 you need to think seriously about whether your project should proceed.</w:t>
      </w:r>
    </w:p>
    <w:p w:rsidR="00F002BD" w:rsidRPr="00BE79CA" w:rsidRDefault="00F002BD" w:rsidP="00BE79CA">
      <w:pPr>
        <w:spacing w:line="240" w:lineRule="auto"/>
        <w:ind w:right="-334"/>
        <w:rPr>
          <w:sz w:val="20"/>
          <w:lang w:val="en-US"/>
        </w:rPr>
      </w:pPr>
      <w:r w:rsidRPr="00BE79CA">
        <w:rPr>
          <w:sz w:val="20"/>
          <w:lang w:val="en-US"/>
        </w:rPr>
        <w:t>The following score ranges reflect the exponentially compounding nature of complexity:</w:t>
      </w:r>
    </w:p>
    <w:p w:rsidR="00F002BD" w:rsidRPr="00BE79CA" w:rsidRDefault="00F002BD" w:rsidP="00BE79CA">
      <w:pPr>
        <w:spacing w:line="240" w:lineRule="auto"/>
        <w:ind w:right="-334"/>
        <w:rPr>
          <w:sz w:val="20"/>
          <w:lang w:val="en-US"/>
        </w:rPr>
      </w:pPr>
      <w:r w:rsidRPr="00BE79CA">
        <w:rPr>
          <w:sz w:val="20"/>
          <w:lang w:val="en-US"/>
        </w:rPr>
        <w:t>The ‘OK’ range: 0-33: a lower likelihood of experiencing significant loss. An experienced project manager is important.</w:t>
      </w:r>
    </w:p>
    <w:p w:rsidR="00F002BD" w:rsidRPr="00BE79CA" w:rsidRDefault="00F002BD" w:rsidP="00BE79CA">
      <w:pPr>
        <w:spacing w:line="240" w:lineRule="auto"/>
        <w:ind w:right="-334"/>
        <w:rPr>
          <w:sz w:val="20"/>
          <w:lang w:val="en-US"/>
        </w:rPr>
      </w:pPr>
      <w:r w:rsidRPr="00BE79CA">
        <w:rPr>
          <w:sz w:val="20"/>
          <w:lang w:val="en-US"/>
        </w:rPr>
        <w:t>The ‘Challenge’ range: 33-66: some losses should be expected. A heroic manager is needed.</w:t>
      </w:r>
    </w:p>
    <w:p w:rsidR="00F253A1" w:rsidRPr="00BE79CA" w:rsidRDefault="00F002BD" w:rsidP="00BE79CA">
      <w:pPr>
        <w:spacing w:line="240" w:lineRule="auto"/>
        <w:ind w:right="-334"/>
        <w:rPr>
          <w:sz w:val="20"/>
          <w:lang w:val="en-US"/>
        </w:rPr>
      </w:pPr>
      <w:r w:rsidRPr="00BE79CA">
        <w:rPr>
          <w:sz w:val="20"/>
          <w:lang w:val="en-US"/>
        </w:rPr>
        <w:t>The ‘Concern’ range: 66-100: high risk of loss, or outright failure. A heroic manager is critical, and from the earliest possible stage.</w:t>
      </w:r>
    </w:p>
    <w:sectPr w:rsidR="00F253A1" w:rsidRPr="00BE79CA" w:rsidSect="00BE79CA">
      <w:headerReference w:type="default" r:id="rId6"/>
      <w:footerReference w:type="default" r:id="rId7"/>
      <w:pgSz w:w="11906" w:h="16838"/>
      <w:pgMar w:top="1440" w:right="1440" w:bottom="1080" w:left="1080" w:header="708" w:footer="3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9CA" w:rsidRDefault="00BE79CA" w:rsidP="00BE79CA">
      <w:pPr>
        <w:spacing w:after="0" w:line="240" w:lineRule="auto"/>
      </w:pPr>
      <w:r>
        <w:separator/>
      </w:r>
    </w:p>
  </w:endnote>
  <w:endnote w:type="continuationSeparator" w:id="0">
    <w:p w:rsidR="00BE79CA" w:rsidRDefault="00BE79CA" w:rsidP="00BE7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CA" w:rsidRPr="00EE6BEB" w:rsidRDefault="00BE79CA" w:rsidP="00BE79CA">
    <w:pPr>
      <w:pStyle w:val="Footer"/>
      <w:tabs>
        <w:tab w:val="clear" w:pos="9360"/>
        <w:tab w:val="left" w:pos="8280"/>
        <w:tab w:val="right" w:pos="8820"/>
      </w:tabs>
      <w:ind w:right="-784" w:hanging="90"/>
      <w:rPr>
        <w:sz w:val="20"/>
      </w:rPr>
    </w:pPr>
    <w:r>
      <w:rPr>
        <w:sz w:val="20"/>
      </w:rPr>
      <w:t xml:space="preserve">J. Ross Publishing WAV™ material </w:t>
    </w:r>
    <w:r>
      <w:rPr>
        <w:sz w:val="20"/>
      </w:rPr>
      <w:tab/>
    </w:r>
    <w:r>
      <w:rPr>
        <w:sz w:val="20"/>
      </w:rPr>
      <w:tab/>
    </w:r>
    <w:r>
      <w:rPr>
        <w:sz w:val="20"/>
      </w:rPr>
      <w:tab/>
      <w:t>JR1195_04</w:t>
    </w:r>
  </w:p>
  <w:p w:rsidR="00BE79CA" w:rsidRDefault="00BE7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9CA" w:rsidRDefault="00BE79CA" w:rsidP="00BE79CA">
      <w:pPr>
        <w:spacing w:after="0" w:line="240" w:lineRule="auto"/>
      </w:pPr>
      <w:r>
        <w:separator/>
      </w:r>
    </w:p>
  </w:footnote>
  <w:footnote w:type="continuationSeparator" w:id="0">
    <w:p w:rsidR="00BE79CA" w:rsidRDefault="00BE79CA" w:rsidP="00BE7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CA" w:rsidRDefault="00BE79CA" w:rsidP="00BE79CA">
    <w:pPr>
      <w:pStyle w:val="Header"/>
      <w:ind w:right="-514"/>
      <w:jc w:val="right"/>
    </w:pPr>
    <w:r w:rsidRPr="00EE6BEB">
      <w:rPr>
        <w:b/>
        <w:i/>
      </w:rPr>
      <w:t>Project Management, Denial, and The Death Zone</w:t>
    </w:r>
    <w:r w:rsidRPr="00EE6BEB">
      <w:rPr>
        <w:i/>
      </w:rPr>
      <w:br/>
    </w:r>
    <w:r>
      <w:t>By Grant Avery, MBA, PMP</w:t>
    </w:r>
  </w:p>
  <w:p w:rsidR="00BE79CA" w:rsidRDefault="00BE79CA" w:rsidP="00BE79CA">
    <w:pPr>
      <w:pStyle w:val="Header"/>
      <w:ind w:right="-514"/>
    </w:pPr>
  </w:p>
  <w:p w:rsidR="00BE79CA" w:rsidRDefault="00BE79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B35F25"/>
    <w:rsid w:val="002011A1"/>
    <w:rsid w:val="00645BFE"/>
    <w:rsid w:val="006D31D9"/>
    <w:rsid w:val="007C2B7E"/>
    <w:rsid w:val="00A42518"/>
    <w:rsid w:val="00B35F25"/>
    <w:rsid w:val="00BE79CA"/>
    <w:rsid w:val="00CD1535"/>
    <w:rsid w:val="00D77543"/>
    <w:rsid w:val="00EE3BAB"/>
    <w:rsid w:val="00F002BD"/>
    <w:rsid w:val="00F253A1"/>
    <w:rsid w:val="00FE0D5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AB"/>
  </w:style>
  <w:style w:type="paragraph" w:styleId="Heading2">
    <w:name w:val="heading 2"/>
    <w:basedOn w:val="Normal"/>
    <w:next w:val="Normal"/>
    <w:link w:val="Heading2Char"/>
    <w:autoRedefine/>
    <w:unhideWhenUsed/>
    <w:qFormat/>
    <w:rsid w:val="00FE0D5C"/>
    <w:pPr>
      <w:keepNext/>
      <w:keepLines/>
      <w:spacing w:before="360" w:after="240" w:line="240" w:lineRule="auto"/>
      <w:outlineLvl w:val="1"/>
    </w:pPr>
    <w:rPr>
      <w:rFonts w:eastAsiaTheme="majorEastAsia"/>
      <w:b/>
      <w:bCs/>
      <w:cap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D5C"/>
    <w:rPr>
      <w:rFonts w:eastAsiaTheme="majorEastAsia"/>
      <w:b/>
      <w:bCs/>
      <w:caps/>
      <w:color w:val="000000" w:themeColor="text1"/>
      <w:lang w:val="en-US"/>
    </w:rPr>
  </w:style>
  <w:style w:type="table" w:styleId="TableGrid">
    <w:name w:val="Table Grid"/>
    <w:basedOn w:val="TableNormal"/>
    <w:rsid w:val="002011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7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CA"/>
  </w:style>
  <w:style w:type="paragraph" w:styleId="Footer">
    <w:name w:val="footer"/>
    <w:basedOn w:val="Normal"/>
    <w:link w:val="FooterChar"/>
    <w:uiPriority w:val="99"/>
    <w:semiHidden/>
    <w:unhideWhenUsed/>
    <w:rsid w:val="00BE79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nhideWhenUsed/>
    <w:qFormat/>
    <w:rsid w:val="00FE0D5C"/>
    <w:pPr>
      <w:keepNext/>
      <w:keepLines/>
      <w:spacing w:before="360" w:after="240" w:line="240" w:lineRule="auto"/>
      <w:outlineLvl w:val="1"/>
    </w:pPr>
    <w:rPr>
      <w:rFonts w:eastAsiaTheme="majorEastAsia"/>
      <w:b/>
      <w:bCs/>
      <w:cap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D5C"/>
    <w:rPr>
      <w:rFonts w:eastAsiaTheme="majorEastAsia"/>
      <w:b/>
      <w:bCs/>
      <w:caps/>
      <w:color w:val="000000" w:themeColor="text1"/>
      <w:lang w:val="en-US"/>
    </w:rPr>
  </w:style>
  <w:style w:type="table" w:styleId="TableGrid">
    <w:name w:val="Table Grid"/>
    <w:basedOn w:val="TableNormal"/>
    <w:rsid w:val="00201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Mary Ellen Thoms</cp:lastModifiedBy>
  <cp:revision>2</cp:revision>
  <dcterms:created xsi:type="dcterms:W3CDTF">2015-10-02T18:50:00Z</dcterms:created>
  <dcterms:modified xsi:type="dcterms:W3CDTF">2015-10-02T18:50:00Z</dcterms:modified>
</cp:coreProperties>
</file>