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EB" w:rsidRDefault="00EE6BEB" w:rsidP="002011A1">
      <w:pPr>
        <w:jc w:val="center"/>
        <w:rPr>
          <w:b/>
          <w:sz w:val="28"/>
          <w:lang w:val="en-US"/>
        </w:rPr>
      </w:pPr>
    </w:p>
    <w:p w:rsidR="002011A1" w:rsidRPr="00EE6BEB" w:rsidRDefault="00CD1535" w:rsidP="002011A1">
      <w:pPr>
        <w:jc w:val="center"/>
        <w:rPr>
          <w:b/>
          <w:sz w:val="28"/>
          <w:lang w:val="en-US"/>
        </w:rPr>
      </w:pPr>
      <w:r w:rsidRPr="00EE6BEB">
        <w:rPr>
          <w:b/>
          <w:sz w:val="28"/>
          <w:lang w:val="en-US"/>
        </w:rPr>
        <w:t>4</w:t>
      </w:r>
      <w:r w:rsidR="002011A1" w:rsidRPr="00EE6BEB">
        <w:rPr>
          <w:b/>
          <w:sz w:val="28"/>
          <w:lang w:val="en-US"/>
        </w:rPr>
        <w:t xml:space="preserve"> Factor Table – </w:t>
      </w:r>
      <w:r w:rsidRPr="00EE6BEB">
        <w:rPr>
          <w:b/>
          <w:sz w:val="28"/>
          <w:lang w:val="en-US"/>
        </w:rPr>
        <w:t>High Risk-Propensity Assessment</w:t>
      </w:r>
    </w:p>
    <w:p w:rsidR="002011A1" w:rsidRDefault="002011A1" w:rsidP="002011A1">
      <w:pPr>
        <w:rPr>
          <w:sz w:val="24"/>
          <w:lang w:val="en-US"/>
        </w:rPr>
      </w:pPr>
      <w:r w:rsidRPr="00EE6BEB">
        <w:rPr>
          <w:sz w:val="24"/>
          <w:lang w:val="en-US"/>
        </w:rPr>
        <w:t xml:space="preserve">The following table provides a list of factors </w:t>
      </w:r>
      <w:r w:rsidR="00CD1535" w:rsidRPr="00EE6BEB">
        <w:rPr>
          <w:sz w:val="24"/>
          <w:lang w:val="en-US"/>
        </w:rPr>
        <w:t>that may signal high risk-propensity in your project</w:t>
      </w:r>
    </w:p>
    <w:p w:rsidR="00EE6BEB" w:rsidRPr="00EE6BEB" w:rsidRDefault="00EE6BEB" w:rsidP="002011A1">
      <w:pPr>
        <w:rPr>
          <w:sz w:val="24"/>
          <w:lang w:val="en-US"/>
        </w:rPr>
      </w:pPr>
    </w:p>
    <w:tbl>
      <w:tblPr>
        <w:tblStyle w:val="TableGrid"/>
        <w:tblW w:w="0" w:type="auto"/>
        <w:jc w:val="center"/>
        <w:tblInd w:w="-1410" w:type="dxa"/>
        <w:tblLook w:val="04A0"/>
      </w:tblPr>
      <w:tblGrid>
        <w:gridCol w:w="7047"/>
        <w:gridCol w:w="992"/>
      </w:tblGrid>
      <w:tr w:rsidR="00CD1535" w:rsidRPr="00EE6BEB" w:rsidTr="00EE6BEB">
        <w:trPr>
          <w:jc w:val="center"/>
        </w:trPr>
        <w:tc>
          <w:tcPr>
            <w:tcW w:w="8039" w:type="dxa"/>
            <w:gridSpan w:val="2"/>
          </w:tcPr>
          <w:p w:rsidR="00CD1535" w:rsidRPr="00EE6BEB" w:rsidRDefault="00CD1535" w:rsidP="00CD1535">
            <w:pPr>
              <w:spacing w:before="120" w:after="120"/>
              <w:jc w:val="center"/>
              <w:rPr>
                <w:rFonts w:ascii="Arial" w:hAnsi="Arial" w:cs="Arial"/>
                <w:b/>
                <w:szCs w:val="16"/>
                <w:lang w:val="en-US"/>
              </w:rPr>
            </w:pPr>
            <w:r w:rsidRPr="00EE6BEB">
              <w:rPr>
                <w:rFonts w:ascii="Arial" w:hAnsi="Arial" w:cs="Arial"/>
                <w:b/>
                <w:szCs w:val="16"/>
                <w:lang w:val="en-US"/>
              </w:rPr>
              <w:t xml:space="preserve">Monitoring for </w:t>
            </w:r>
            <w:r w:rsidR="00EE6BEB">
              <w:rPr>
                <w:rFonts w:ascii="Arial" w:hAnsi="Arial" w:cs="Arial"/>
                <w:b/>
                <w:szCs w:val="16"/>
                <w:lang w:val="en-US"/>
              </w:rPr>
              <w:t>S</w:t>
            </w:r>
            <w:r w:rsidRPr="00EE6BEB">
              <w:rPr>
                <w:rFonts w:ascii="Arial" w:hAnsi="Arial" w:cs="Arial"/>
                <w:b/>
                <w:szCs w:val="16"/>
                <w:lang w:val="en-US"/>
              </w:rPr>
              <w:t xml:space="preserve">igns of </w:t>
            </w:r>
            <w:r w:rsidR="00EE6BEB">
              <w:rPr>
                <w:rFonts w:ascii="Arial" w:hAnsi="Arial" w:cs="Arial"/>
                <w:b/>
                <w:szCs w:val="16"/>
                <w:lang w:val="en-US"/>
              </w:rPr>
              <w:t>H</w:t>
            </w:r>
            <w:r w:rsidRPr="00EE6BEB">
              <w:rPr>
                <w:rFonts w:ascii="Arial" w:hAnsi="Arial" w:cs="Arial"/>
                <w:b/>
                <w:szCs w:val="16"/>
                <w:lang w:val="en-US"/>
              </w:rPr>
              <w:t xml:space="preserve">igh </w:t>
            </w:r>
            <w:r w:rsidR="00EE6BEB">
              <w:rPr>
                <w:rFonts w:ascii="Arial" w:hAnsi="Arial" w:cs="Arial"/>
                <w:b/>
                <w:szCs w:val="16"/>
                <w:lang w:val="en-US"/>
              </w:rPr>
              <w:t>R</w:t>
            </w:r>
            <w:r w:rsidRPr="00EE6BEB">
              <w:rPr>
                <w:rFonts w:ascii="Arial" w:hAnsi="Arial" w:cs="Arial"/>
                <w:b/>
                <w:szCs w:val="16"/>
                <w:lang w:val="en-US"/>
              </w:rPr>
              <w:t>isk-</w:t>
            </w:r>
            <w:r w:rsidR="00EE6BEB">
              <w:rPr>
                <w:rFonts w:ascii="Arial" w:hAnsi="Arial" w:cs="Arial"/>
                <w:b/>
                <w:szCs w:val="16"/>
                <w:lang w:val="en-US"/>
              </w:rPr>
              <w:t>P</w:t>
            </w:r>
            <w:r w:rsidRPr="00EE6BEB">
              <w:rPr>
                <w:rFonts w:ascii="Arial" w:hAnsi="Arial" w:cs="Arial"/>
                <w:b/>
                <w:szCs w:val="16"/>
                <w:lang w:val="en-US"/>
              </w:rPr>
              <w:t>ropensity</w:t>
            </w:r>
          </w:p>
          <w:p w:rsidR="00CD1535" w:rsidRPr="00EE6BEB" w:rsidRDefault="00CD1535" w:rsidP="00EE6BEB">
            <w:pPr>
              <w:spacing w:before="120" w:after="120"/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EE6BEB">
              <w:rPr>
                <w:rFonts w:ascii="Arial" w:hAnsi="Arial" w:cs="Arial"/>
                <w:b/>
                <w:szCs w:val="16"/>
                <w:lang w:val="en-US"/>
              </w:rPr>
              <w:t xml:space="preserve">(the </w:t>
            </w:r>
            <w:r w:rsidR="00EE6BEB">
              <w:rPr>
                <w:rFonts w:ascii="Arial" w:hAnsi="Arial" w:cs="Arial"/>
                <w:b/>
                <w:szCs w:val="16"/>
                <w:lang w:val="en-US"/>
              </w:rPr>
              <w:t>P</w:t>
            </w:r>
            <w:r w:rsidRPr="00EE6BEB">
              <w:rPr>
                <w:rFonts w:ascii="Arial" w:hAnsi="Arial" w:cs="Arial"/>
                <w:b/>
                <w:szCs w:val="16"/>
                <w:lang w:val="en-US"/>
              </w:rPr>
              <w:t>roject’s ‘</w:t>
            </w:r>
            <w:r w:rsidR="00EE6BEB">
              <w:rPr>
                <w:rFonts w:ascii="Arial" w:hAnsi="Arial" w:cs="Arial"/>
                <w:b/>
                <w:szCs w:val="16"/>
                <w:lang w:val="en-US"/>
              </w:rPr>
              <w:t>R</w:t>
            </w:r>
            <w:r w:rsidRPr="00EE6BEB">
              <w:rPr>
                <w:rFonts w:ascii="Arial" w:hAnsi="Arial" w:cs="Arial"/>
                <w:b/>
                <w:szCs w:val="16"/>
                <w:lang w:val="en-US"/>
              </w:rPr>
              <w:t xml:space="preserve">isk </w:t>
            </w:r>
            <w:r w:rsidR="00EE6BEB">
              <w:rPr>
                <w:rFonts w:ascii="Arial" w:hAnsi="Arial" w:cs="Arial"/>
                <w:b/>
                <w:szCs w:val="16"/>
                <w:lang w:val="en-US"/>
              </w:rPr>
              <w:t>P</w:t>
            </w:r>
            <w:r w:rsidRPr="00EE6BEB">
              <w:rPr>
                <w:rFonts w:ascii="Arial" w:hAnsi="Arial" w:cs="Arial"/>
                <w:b/>
                <w:szCs w:val="16"/>
                <w:lang w:val="en-US"/>
              </w:rPr>
              <w:t>ersonality’)</w:t>
            </w:r>
          </w:p>
        </w:tc>
      </w:tr>
      <w:tr w:rsidR="00CD1535" w:rsidRPr="00EE6BEB" w:rsidTr="00EE6BEB">
        <w:trPr>
          <w:jc w:val="center"/>
        </w:trPr>
        <w:tc>
          <w:tcPr>
            <w:tcW w:w="7047" w:type="dxa"/>
          </w:tcPr>
          <w:p w:rsidR="00CD1535" w:rsidRPr="00EE6BEB" w:rsidRDefault="00CD1535" w:rsidP="00CD1535">
            <w:pPr>
              <w:spacing w:before="120" w:after="120"/>
              <w:jc w:val="center"/>
              <w:rPr>
                <w:rFonts w:ascii="Arial" w:hAnsi="Arial" w:cs="Arial"/>
                <w:b/>
                <w:szCs w:val="16"/>
                <w:lang w:val="en-US"/>
              </w:rPr>
            </w:pPr>
            <w:r w:rsidRPr="00EE6BEB">
              <w:rPr>
                <w:rFonts w:ascii="Arial" w:hAnsi="Arial" w:cs="Arial"/>
                <w:b/>
                <w:szCs w:val="16"/>
                <w:lang w:val="en-US"/>
              </w:rPr>
              <w:t>Factor (refer Chapter 4  ‘Risk Appetite’ for further info)</w:t>
            </w:r>
          </w:p>
        </w:tc>
        <w:tc>
          <w:tcPr>
            <w:tcW w:w="992" w:type="dxa"/>
          </w:tcPr>
          <w:p w:rsidR="00CD1535" w:rsidRPr="00EE6BEB" w:rsidRDefault="00CD1535" w:rsidP="00CD1535">
            <w:pPr>
              <w:spacing w:before="120" w:after="120"/>
              <w:jc w:val="center"/>
              <w:rPr>
                <w:rFonts w:ascii="Arial" w:hAnsi="Arial" w:cs="Arial"/>
                <w:b/>
                <w:szCs w:val="16"/>
                <w:lang w:val="en-US"/>
              </w:rPr>
            </w:pPr>
            <w:r w:rsidRPr="00EE6BEB">
              <w:rPr>
                <w:rFonts w:ascii="Arial" w:hAnsi="Arial" w:cs="Arial"/>
                <w:b/>
                <w:szCs w:val="16"/>
                <w:lang w:val="en-US"/>
              </w:rPr>
              <w:t>Yes/No</w:t>
            </w:r>
          </w:p>
        </w:tc>
      </w:tr>
      <w:tr w:rsidR="00CD1535" w:rsidRPr="00EE6BEB" w:rsidTr="00EE6BEB">
        <w:trPr>
          <w:jc w:val="center"/>
        </w:trPr>
        <w:tc>
          <w:tcPr>
            <w:tcW w:w="7047" w:type="dxa"/>
          </w:tcPr>
          <w:p w:rsidR="00CD1535" w:rsidRPr="00EE6BEB" w:rsidRDefault="00CD1535" w:rsidP="00CD1535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EE6BEB">
              <w:rPr>
                <w:rFonts w:ascii="Arial" w:hAnsi="Arial" w:cs="Arial"/>
                <w:szCs w:val="16"/>
                <w:lang w:val="en-US"/>
              </w:rPr>
              <w:t>There is a lack of experience with this scale/type of project</w:t>
            </w:r>
          </w:p>
        </w:tc>
        <w:tc>
          <w:tcPr>
            <w:tcW w:w="992" w:type="dxa"/>
          </w:tcPr>
          <w:p w:rsidR="00CD1535" w:rsidRPr="00EE6BEB" w:rsidRDefault="00CD1535" w:rsidP="00CD1535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CD1535" w:rsidRPr="00EE6BEB" w:rsidTr="00EE6BEB">
        <w:trPr>
          <w:jc w:val="center"/>
        </w:trPr>
        <w:tc>
          <w:tcPr>
            <w:tcW w:w="7047" w:type="dxa"/>
          </w:tcPr>
          <w:p w:rsidR="00CD1535" w:rsidRPr="00EE6BEB" w:rsidRDefault="00CD1535" w:rsidP="00CD1535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EE6BEB">
              <w:rPr>
                <w:rFonts w:ascii="Arial" w:hAnsi="Arial" w:cs="Arial"/>
                <w:szCs w:val="16"/>
                <w:lang w:val="en-US"/>
              </w:rPr>
              <w:t>The project or its leadership is under high levels of stakeholder pressure</w:t>
            </w:r>
          </w:p>
        </w:tc>
        <w:tc>
          <w:tcPr>
            <w:tcW w:w="992" w:type="dxa"/>
          </w:tcPr>
          <w:p w:rsidR="00CD1535" w:rsidRPr="00EE6BEB" w:rsidRDefault="00CD1535" w:rsidP="00CD1535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CD1535" w:rsidRPr="00EE6BEB" w:rsidTr="00EE6BEB">
        <w:trPr>
          <w:jc w:val="center"/>
        </w:trPr>
        <w:tc>
          <w:tcPr>
            <w:tcW w:w="7047" w:type="dxa"/>
          </w:tcPr>
          <w:p w:rsidR="00CD1535" w:rsidRPr="00EE6BEB" w:rsidRDefault="00CD1535" w:rsidP="00CD1535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EE6BEB">
              <w:rPr>
                <w:rFonts w:ascii="Arial" w:hAnsi="Arial" w:cs="Arial"/>
                <w:szCs w:val="16"/>
                <w:lang w:val="en-US"/>
              </w:rPr>
              <w:t>The goal is perceived to be high value to individuals, or to the organisation</w:t>
            </w:r>
          </w:p>
        </w:tc>
        <w:tc>
          <w:tcPr>
            <w:tcW w:w="992" w:type="dxa"/>
          </w:tcPr>
          <w:p w:rsidR="00CD1535" w:rsidRPr="00EE6BEB" w:rsidRDefault="00CD1535" w:rsidP="00CD1535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CD1535" w:rsidRPr="00EE6BEB" w:rsidTr="00EE6BEB">
        <w:trPr>
          <w:jc w:val="center"/>
        </w:trPr>
        <w:tc>
          <w:tcPr>
            <w:tcW w:w="7047" w:type="dxa"/>
          </w:tcPr>
          <w:p w:rsidR="00CD1535" w:rsidRPr="00EE6BEB" w:rsidRDefault="00CD1535" w:rsidP="00CD1535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EE6BEB">
              <w:rPr>
                <w:rFonts w:ascii="Arial" w:hAnsi="Arial" w:cs="Arial"/>
                <w:szCs w:val="16"/>
                <w:lang w:val="en-US"/>
              </w:rPr>
              <w:t>There are signs of high levels of ‘normal narcissism’ in individuals or in the organisation’s broader business culture</w:t>
            </w:r>
          </w:p>
        </w:tc>
        <w:tc>
          <w:tcPr>
            <w:tcW w:w="992" w:type="dxa"/>
          </w:tcPr>
          <w:p w:rsidR="00CD1535" w:rsidRPr="00EE6BEB" w:rsidRDefault="00CD1535" w:rsidP="00CD1535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</w:tbl>
    <w:p w:rsidR="002011A1" w:rsidRPr="002011A1" w:rsidRDefault="002011A1" w:rsidP="002011A1">
      <w:pPr>
        <w:rPr>
          <w:lang w:val="en-US"/>
        </w:rPr>
      </w:pPr>
      <w:bookmarkStart w:id="0" w:name="_GoBack"/>
      <w:bookmarkEnd w:id="0"/>
    </w:p>
    <w:p w:rsidR="00F253A1" w:rsidRDefault="00F253A1"/>
    <w:sectPr w:rsidR="00F253A1" w:rsidSect="00EE6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0" w:right="65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EB" w:rsidRDefault="00EE6BEB" w:rsidP="00EE6BEB">
      <w:pPr>
        <w:spacing w:after="0" w:line="240" w:lineRule="auto"/>
      </w:pPr>
      <w:r>
        <w:separator/>
      </w:r>
    </w:p>
  </w:endnote>
  <w:endnote w:type="continuationSeparator" w:id="0">
    <w:p w:rsidR="00EE6BEB" w:rsidRDefault="00EE6BEB" w:rsidP="00EE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EB" w:rsidRDefault="00EE6B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EB" w:rsidRPr="00EE6BEB" w:rsidRDefault="00EE6BEB" w:rsidP="00EE6BEB">
    <w:pPr>
      <w:pStyle w:val="Footer"/>
      <w:tabs>
        <w:tab w:val="clear" w:pos="9360"/>
        <w:tab w:val="left" w:pos="8280"/>
        <w:tab w:val="right" w:pos="8820"/>
      </w:tabs>
      <w:ind w:hanging="720"/>
      <w:rPr>
        <w:sz w:val="20"/>
      </w:rPr>
    </w:pPr>
    <w:r>
      <w:rPr>
        <w:sz w:val="20"/>
      </w:rPr>
      <w:t>J. Ross Publishing WAV™ material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JR1195_01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EB" w:rsidRDefault="00EE6B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EB" w:rsidRDefault="00EE6BEB" w:rsidP="00EE6BEB">
      <w:pPr>
        <w:spacing w:after="0" w:line="240" w:lineRule="auto"/>
      </w:pPr>
      <w:r>
        <w:separator/>
      </w:r>
    </w:p>
  </w:footnote>
  <w:footnote w:type="continuationSeparator" w:id="0">
    <w:p w:rsidR="00EE6BEB" w:rsidRDefault="00EE6BEB" w:rsidP="00EE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EB" w:rsidRDefault="00EE6B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EB" w:rsidRDefault="00EE6BEB" w:rsidP="00EE6BEB">
    <w:pPr>
      <w:pStyle w:val="Header"/>
      <w:jc w:val="right"/>
    </w:pPr>
    <w:r w:rsidRPr="00EE6BEB">
      <w:rPr>
        <w:b/>
        <w:i/>
      </w:rPr>
      <w:t>Project Management, Denial, and The Death Zone</w:t>
    </w:r>
    <w:r w:rsidRPr="00EE6BEB">
      <w:rPr>
        <w:i/>
      </w:rPr>
      <w:br/>
    </w:r>
    <w:r>
      <w:t>By Grant Avery, MBA</w:t>
    </w:r>
    <w:r w:rsidR="0074326F">
      <w:t xml:space="preserve">, </w:t>
    </w:r>
    <w:r>
      <w:t>PMP</w:t>
    </w:r>
  </w:p>
  <w:p w:rsidR="00EE6BEB" w:rsidRDefault="00EE6B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EB" w:rsidRDefault="00EE6B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5F25"/>
    <w:rsid w:val="002011A1"/>
    <w:rsid w:val="0074326F"/>
    <w:rsid w:val="0086383B"/>
    <w:rsid w:val="00A42518"/>
    <w:rsid w:val="00B35F25"/>
    <w:rsid w:val="00CD1535"/>
    <w:rsid w:val="00EE6BEB"/>
    <w:rsid w:val="00F253A1"/>
    <w:rsid w:val="00FE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3B"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E0D5C"/>
    <w:pPr>
      <w:keepNext/>
      <w:keepLines/>
      <w:spacing w:before="360" w:after="240" w:line="240" w:lineRule="auto"/>
      <w:outlineLvl w:val="1"/>
    </w:pPr>
    <w:rPr>
      <w:rFonts w:eastAsiaTheme="majorEastAsia"/>
      <w:b/>
      <w:bCs/>
      <w:cap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0D5C"/>
    <w:rPr>
      <w:rFonts w:eastAsiaTheme="majorEastAsia"/>
      <w:b/>
      <w:bCs/>
      <w:caps/>
      <w:color w:val="000000" w:themeColor="text1"/>
      <w:lang w:val="en-US"/>
    </w:rPr>
  </w:style>
  <w:style w:type="table" w:styleId="TableGrid">
    <w:name w:val="Table Grid"/>
    <w:basedOn w:val="TableNormal"/>
    <w:rsid w:val="0020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BEB"/>
  </w:style>
  <w:style w:type="paragraph" w:styleId="Footer">
    <w:name w:val="footer"/>
    <w:basedOn w:val="Normal"/>
    <w:link w:val="FooterChar"/>
    <w:uiPriority w:val="99"/>
    <w:semiHidden/>
    <w:unhideWhenUsed/>
    <w:rsid w:val="00EE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E0D5C"/>
    <w:pPr>
      <w:keepNext/>
      <w:keepLines/>
      <w:spacing w:before="360" w:after="240" w:line="240" w:lineRule="auto"/>
      <w:outlineLvl w:val="1"/>
    </w:pPr>
    <w:rPr>
      <w:rFonts w:eastAsiaTheme="majorEastAsia"/>
      <w:b/>
      <w:bCs/>
      <w:caps/>
      <w:color w:val="000000" w:themeColor="text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0D5C"/>
    <w:rPr>
      <w:rFonts w:eastAsiaTheme="majorEastAsia"/>
      <w:b/>
      <w:bCs/>
      <w:caps/>
      <w:color w:val="000000" w:themeColor="text1"/>
      <w:lang w:val="en-US"/>
    </w:rPr>
  </w:style>
  <w:style w:type="table" w:styleId="TableGrid">
    <w:name w:val="Table Grid"/>
    <w:basedOn w:val="TableNormal"/>
    <w:rsid w:val="0020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Mary Ellen Thoms</cp:lastModifiedBy>
  <cp:revision>3</cp:revision>
  <dcterms:created xsi:type="dcterms:W3CDTF">2015-10-02T18:32:00Z</dcterms:created>
  <dcterms:modified xsi:type="dcterms:W3CDTF">2015-10-02T18:33:00Z</dcterms:modified>
</cp:coreProperties>
</file>